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仿宋" w:hAnsi="仿宋"/>
        </w:rPr>
      </w:pPr>
      <w:r>
        <w:rPr>
          <w:rFonts w:hint="eastAsia" w:ascii="仿宋" w:hAnsi="仿宋"/>
        </w:rPr>
        <w:t>附件</w:t>
      </w:r>
      <w:r>
        <w:rPr>
          <w:rFonts w:hint="default" w:ascii="仿宋" w:hAnsi="仿宋"/>
          <w:lang w:val="en-US"/>
        </w:rPr>
        <w:t>2</w:t>
      </w:r>
      <w:bookmarkStart w:id="0" w:name="_GoBack"/>
      <w:bookmarkEnd w:id="0"/>
    </w:p>
    <w:p>
      <w:pPr>
        <w:jc w:val="center"/>
        <w:rPr>
          <w:rFonts w:ascii="方正小标宋简体" w:hAnsi="仿宋" w:eastAsia="方正小标宋简体" w:cs="仿宋"/>
          <w:sz w:val="44"/>
          <w:szCs w:val="44"/>
        </w:rPr>
      </w:pPr>
      <w:r>
        <w:rPr>
          <w:rFonts w:hint="eastAsia" w:ascii="方正小标宋简体" w:hAnsi="仿宋" w:eastAsia="方正小标宋简体" w:cs="仿宋"/>
          <w:sz w:val="44"/>
          <w:szCs w:val="44"/>
        </w:rPr>
        <w:t>关于部分检验项目的说明</w:t>
      </w:r>
    </w:p>
    <w:p>
      <w:pPr>
        <w:widowControl/>
        <w:shd w:val="clear" w:color="auto" w:fill="FFFFFF"/>
        <w:snapToGrid w:val="0"/>
        <w:spacing w:line="360" w:lineRule="auto"/>
        <w:rPr>
          <w:rFonts w:ascii="宋体" w:hAnsi="宋体" w:eastAsia="宋体"/>
          <w:b/>
          <w:color w:val="000000"/>
          <w:kern w:val="0"/>
          <w:sz w:val="28"/>
          <w:szCs w:val="28"/>
        </w:rPr>
      </w:pPr>
    </w:p>
    <w:p>
      <w:pPr>
        <w:widowControl/>
        <w:shd w:val="clear" w:color="auto" w:fill="FFFFFF"/>
        <w:snapToGrid w:val="0"/>
        <w:spacing w:line="360" w:lineRule="auto"/>
        <w:ind w:firstLine="551" w:firstLineChars="196"/>
        <w:rPr>
          <w:rFonts w:ascii="宋体" w:hAnsi="宋体" w:eastAsia="宋体"/>
          <w:b/>
          <w:color w:val="000000"/>
          <w:kern w:val="0"/>
          <w:sz w:val="28"/>
          <w:szCs w:val="28"/>
        </w:rPr>
      </w:pPr>
      <w:r>
        <w:rPr>
          <w:rFonts w:hint="eastAsia" w:ascii="宋体" w:hAnsi="宋体" w:eastAsia="宋体"/>
          <w:b/>
          <w:color w:val="000000"/>
          <w:kern w:val="0"/>
          <w:sz w:val="28"/>
          <w:szCs w:val="28"/>
        </w:rPr>
        <w:t>一、菌落总数</w:t>
      </w:r>
    </w:p>
    <w:p>
      <w:pPr>
        <w:shd w:val="clear" w:color="auto" w:fill="FBFBFB"/>
        <w:spacing w:line="360" w:lineRule="atLeast"/>
        <w:ind w:firstLine="570"/>
        <w:rPr>
          <w:rFonts w:hint="eastAsia" w:ascii="宋体" w:hAnsi="宋体" w:eastAsia="宋体"/>
          <w:color w:val="000000"/>
          <w:kern w:val="0"/>
          <w:sz w:val="28"/>
          <w:szCs w:val="28"/>
        </w:rPr>
      </w:pPr>
      <w:r>
        <w:rPr>
          <w:rFonts w:hint="eastAsia" w:ascii="宋体" w:hAnsi="宋体" w:eastAsia="宋体"/>
          <w:color w:val="000000"/>
          <w:kern w:val="0"/>
          <w:sz w:val="28"/>
          <w:szCs w:val="28"/>
        </w:rPr>
        <w:t>菌落总数是指示性微生物指标，并非致病菌指标。主要用来评价食品清洁度，反映食品在生产过程中是否符合卫生要求。《食品安全国家标准 熟肉制品》（GB 2726—2016）中规定，熟肉制品（除发酵肉制品外）中的菌落总数5次检测结果均不得超过10</w:t>
      </w:r>
      <w:r>
        <w:rPr>
          <w:rFonts w:hint="eastAsia" w:ascii="宋体" w:hAnsi="宋体" w:eastAsia="宋体"/>
          <w:color w:val="000000"/>
          <w:kern w:val="0"/>
          <w:sz w:val="28"/>
          <w:szCs w:val="28"/>
          <w:vertAlign w:val="superscript"/>
        </w:rPr>
        <w:t>5</w:t>
      </w:r>
      <w:r>
        <w:rPr>
          <w:rFonts w:hint="eastAsia" w:ascii="宋体" w:hAnsi="宋体" w:eastAsia="宋体"/>
          <w:color w:val="000000"/>
          <w:kern w:val="0"/>
          <w:sz w:val="28"/>
          <w:szCs w:val="28"/>
        </w:rPr>
        <w:t>CFU/g且至少3次检测结果不超过10</w:t>
      </w:r>
      <w:r>
        <w:rPr>
          <w:rFonts w:hint="eastAsia" w:ascii="宋体" w:hAnsi="宋体" w:eastAsia="宋体"/>
          <w:color w:val="000000"/>
          <w:kern w:val="0"/>
          <w:sz w:val="28"/>
          <w:szCs w:val="28"/>
          <w:vertAlign w:val="superscript"/>
        </w:rPr>
        <w:t>4</w:t>
      </w:r>
      <w:r>
        <w:rPr>
          <w:rFonts w:hint="eastAsia" w:ascii="宋体" w:hAnsi="宋体" w:eastAsia="宋体"/>
          <w:color w:val="000000"/>
          <w:kern w:val="0"/>
          <w:sz w:val="28"/>
          <w:szCs w:val="28"/>
        </w:rPr>
        <w:t>CFU/g。如果食品的菌落总数严重超标，将会破坏食品的营养成分，加速食品的腐败变质，使食品失去食用价值，并且食用菌落总数超标的食品也会引起食源性疾病。菌落总数超标可能是个别企业所使用的原辅料初始菌数较高，又未按要求严格控制生产加工过程的卫生条件，或者包装容器清洗消毒不到位，还有可能与产品包装密封不严、储运条件控制不当等有关。</w:t>
      </w:r>
    </w:p>
    <w:p>
      <w:pPr>
        <w:spacing w:line="594" w:lineRule="exact"/>
        <w:ind w:firstLine="422" w:firstLineChars="150"/>
        <w:textAlignment w:val="baseline"/>
        <w:rPr>
          <w:rFonts w:ascii="宋体" w:hAnsi="宋体" w:eastAsia="宋体"/>
          <w:b/>
          <w:color w:val="000000"/>
          <w:kern w:val="0"/>
          <w:sz w:val="28"/>
          <w:szCs w:val="28"/>
        </w:rPr>
      </w:pPr>
      <w:r>
        <w:rPr>
          <w:rFonts w:hint="eastAsia" w:ascii="宋体" w:hAnsi="宋体" w:eastAsia="宋体"/>
          <w:b/>
          <w:color w:val="000000"/>
          <w:kern w:val="0"/>
          <w:sz w:val="28"/>
          <w:szCs w:val="28"/>
        </w:rPr>
        <w:t>二、呋喃唑酮代谢物</w:t>
      </w:r>
    </w:p>
    <w:p>
      <w:pPr>
        <w:pStyle w:val="12"/>
        <w:ind w:firstLine="560"/>
        <w:rPr>
          <w:rFonts w:ascii="宋体" w:hAnsi="宋体" w:eastAsia="宋体"/>
          <w:color w:val="000000"/>
          <w:kern w:val="0"/>
          <w:sz w:val="28"/>
          <w:szCs w:val="28"/>
        </w:rPr>
      </w:pPr>
      <w:r>
        <w:rPr>
          <w:rFonts w:ascii="宋体" w:hAnsi="宋体" w:eastAsia="宋体"/>
          <w:color w:val="000000"/>
          <w:kern w:val="0"/>
          <w:sz w:val="28"/>
          <w:szCs w:val="28"/>
        </w:rPr>
        <w:t>呋喃唑酮属于硝基呋喃类广谱抗生素，曾广泛应用于畜禽及水产养殖业。硝基呋喃类原型药在生物体内代谢迅速，和蛋白质结合后相当稳定，故常利用对其代谢物的检测来反映硝基呋喃类药物的残留状况。《食品动物中禁止使用的药品及其他化合物清单》(农业农村部 第250号公告)中规定，硝基呋喃类药物及其代谢物为禁止使用的药物，在动物性食品中均不得检出。呋喃唑酮及其代谢物在动物源性食品中的残留可以通过食物链进入人体，可引起溶血性贫血、多发性神经炎、眼部损害和急性肝坏死等病症及致癌、致畸等健康危害。其他水产品中呋喃唑酮代谢物超标的原因，可能是养殖户在养殖过程中违规使用相关兽药。</w:t>
      </w:r>
    </w:p>
    <w:p>
      <w:pPr>
        <w:spacing w:line="594" w:lineRule="exact"/>
        <w:ind w:firstLine="422" w:firstLineChars="150"/>
        <w:textAlignment w:val="baseline"/>
        <w:rPr>
          <w:szCs w:val="32"/>
        </w:rPr>
      </w:pPr>
      <w:r>
        <w:rPr>
          <w:rFonts w:hint="eastAsia" w:ascii="宋体" w:hAnsi="宋体" w:eastAsia="宋体"/>
          <w:b/>
          <w:color w:val="000000"/>
          <w:kern w:val="0"/>
          <w:sz w:val="28"/>
          <w:szCs w:val="28"/>
        </w:rPr>
        <w:t>三、孔雀石绿</w:t>
      </w:r>
    </w:p>
    <w:p>
      <w:pPr>
        <w:pStyle w:val="12"/>
        <w:ind w:firstLine="560"/>
        <w:rPr>
          <w:rFonts w:ascii="宋体" w:hAnsi="宋体" w:eastAsia="宋体"/>
          <w:color w:val="000000"/>
          <w:kern w:val="0"/>
          <w:sz w:val="28"/>
          <w:szCs w:val="28"/>
        </w:rPr>
      </w:pPr>
      <w:r>
        <w:rPr>
          <w:rFonts w:hint="eastAsia" w:ascii="宋体" w:hAnsi="宋体" w:eastAsia="宋体"/>
          <w:color w:val="000000"/>
          <w:kern w:val="0"/>
          <w:sz w:val="28"/>
          <w:szCs w:val="28"/>
        </w:rPr>
        <w:t>孔雀石绿属于三苯甲烷类化学物，既是染料，也是杀真菌、杀细菌、杀寄生虫的药物。《食品动物中禁止使用的药品及其他化合物清单》(农业农村部 第250号公告)中规定，孔雀石绿为禁止使用的药物，在动物性食品中不得检出。孔雀石绿具有潜在致癌、致畸、致突变的作用，长期食用检出孔雀石绿的食品可能会危害人体健康。其他水产品中孔雀石绿超标的原因，可能是养殖户在养殖过程中违规使用相关兽药。</w:t>
      </w:r>
    </w:p>
    <w:p>
      <w:pPr>
        <w:spacing w:line="594" w:lineRule="exact"/>
        <w:ind w:firstLine="281" w:firstLineChars="100"/>
        <w:textAlignment w:val="baseline"/>
        <w:rPr>
          <w:szCs w:val="32"/>
        </w:rPr>
      </w:pPr>
      <w:r>
        <w:rPr>
          <w:rFonts w:hint="eastAsia" w:ascii="宋体" w:hAnsi="宋体" w:eastAsia="宋体"/>
          <w:b/>
          <w:color w:val="000000"/>
          <w:kern w:val="0"/>
          <w:sz w:val="28"/>
          <w:szCs w:val="28"/>
        </w:rPr>
        <w:t>四、氯霉素</w:t>
      </w:r>
    </w:p>
    <w:p>
      <w:pPr>
        <w:pStyle w:val="12"/>
        <w:ind w:firstLine="560"/>
        <w:rPr>
          <w:rFonts w:ascii="宋体" w:hAnsi="宋体" w:eastAsia="宋体"/>
          <w:color w:val="000000"/>
          <w:kern w:val="0"/>
          <w:sz w:val="28"/>
          <w:szCs w:val="28"/>
        </w:rPr>
      </w:pPr>
      <w:r>
        <w:rPr>
          <w:rFonts w:hint="eastAsia" w:ascii="宋体" w:hAnsi="宋体" w:eastAsia="宋体"/>
          <w:color w:val="000000"/>
          <w:kern w:val="0"/>
          <w:sz w:val="28"/>
          <w:szCs w:val="28"/>
        </w:rPr>
        <w:t>氯霉素一种杀菌剂，也是高效广谱的抗生素，对革兰氏阳性菌和革兰氏阴性菌均有较好的抑制作用，《食品动物中禁止使用的药品及其他化合物清单》(农业农村部 第250号公告)中规定，氯霉素为禁止使用的药物，在动物性食品中均不得检出。长期食用氯霉素残留超标的食品可能引起肠道菌群失调，导致消化机能紊乱。禽副产品中检出氯霉素的主要原因可能是养殖户在养殖过程中违规使用相关兽药。</w:t>
      </w:r>
    </w:p>
    <w:p>
      <w:pPr>
        <w:shd w:val="clear" w:color="auto" w:fill="FBFBFB"/>
        <w:spacing w:line="360" w:lineRule="atLeast"/>
        <w:ind w:firstLine="570"/>
        <w:rPr>
          <w:rFonts w:ascii="宋体" w:hAnsi="宋体" w:eastAsia="宋体"/>
          <w:color w:val="000000"/>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宋体"/>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F3175"/>
    <w:rsid w:val="000C35DF"/>
    <w:rsid w:val="000E76D2"/>
    <w:rsid w:val="001020DD"/>
    <w:rsid w:val="005B25B8"/>
    <w:rsid w:val="005E6434"/>
    <w:rsid w:val="006C5A71"/>
    <w:rsid w:val="0070626E"/>
    <w:rsid w:val="007577BD"/>
    <w:rsid w:val="00773C93"/>
    <w:rsid w:val="0083420C"/>
    <w:rsid w:val="00975C25"/>
    <w:rsid w:val="00A61EF2"/>
    <w:rsid w:val="00BF3175"/>
    <w:rsid w:val="00C35B00"/>
    <w:rsid w:val="00E24F93"/>
    <w:rsid w:val="00E54DA6"/>
    <w:rsid w:val="00E61D7E"/>
    <w:rsid w:val="00F7027F"/>
    <w:rsid w:val="07714F96"/>
    <w:rsid w:val="0CD00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semiHidden/>
    <w:unhideWhenUsed/>
    <w:uiPriority w:val="99"/>
    <w:pPr>
      <w:tabs>
        <w:tab w:val="center" w:pos="4153"/>
        <w:tab w:val="right" w:pos="8306"/>
      </w:tabs>
      <w:snapToGrid w:val="0"/>
      <w:jc w:val="left"/>
    </w:pPr>
    <w:rPr>
      <w:sz w:val="18"/>
      <w:szCs w:val="18"/>
    </w:rPr>
  </w:style>
  <w:style w:type="paragraph" w:styleId="3">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eastAsia="宋体" w:cs="宋体"/>
      <w:kern w:val="0"/>
      <w:sz w:val="24"/>
    </w:rPr>
  </w:style>
  <w:style w:type="character" w:styleId="6">
    <w:name w:val="Strong"/>
    <w:basedOn w:val="5"/>
    <w:qFormat/>
    <w:uiPriority w:val="0"/>
    <w:rPr>
      <w:b/>
      <w:bCs/>
    </w:rPr>
  </w:style>
  <w:style w:type="paragraph" w:customStyle="1" w:styleId="8">
    <w:name w:val="reader-word-layer"/>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9">
    <w:name w:val="apple-converted-space"/>
    <w:basedOn w:val="5"/>
    <w:qFormat/>
    <w:uiPriority w:val="0"/>
  </w:style>
  <w:style w:type="character" w:customStyle="1" w:styleId="10">
    <w:name w:val="页眉 Char"/>
    <w:basedOn w:val="5"/>
    <w:link w:val="3"/>
    <w:semiHidden/>
    <w:qFormat/>
    <w:uiPriority w:val="99"/>
    <w:rPr>
      <w:rFonts w:ascii="Calibri" w:hAnsi="Calibri" w:eastAsia="仿宋" w:cs="Times New Roman"/>
      <w:sz w:val="18"/>
      <w:szCs w:val="18"/>
    </w:rPr>
  </w:style>
  <w:style w:type="character" w:customStyle="1" w:styleId="11">
    <w:name w:val="页脚 Char"/>
    <w:basedOn w:val="5"/>
    <w:link w:val="2"/>
    <w:semiHidden/>
    <w:qFormat/>
    <w:uiPriority w:val="99"/>
    <w:rPr>
      <w:rFonts w:ascii="Calibri" w:hAnsi="Calibri" w:eastAsia="仿宋" w:cs="Times New Roman"/>
      <w:sz w:val="18"/>
      <w:szCs w:val="18"/>
    </w:rPr>
  </w:style>
  <w:style w:type="paragraph" w:customStyle="1" w:styleId="12">
    <w:name w:val="样式1"/>
    <w:basedOn w:val="1"/>
    <w:qFormat/>
    <w:uiPriority w:val="0"/>
    <w:pPr>
      <w:ind w:firstLine="640" w:firstLineChars="200"/>
    </w:pPr>
    <w:rPr>
      <w:rFonts w:ascii="Times New Roman" w:hAnsi="Times New Roman" w:eastAsia="仿宋_GB231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148</Words>
  <Characters>849</Characters>
  <Lines>7</Lines>
  <Paragraphs>1</Paragraphs>
  <TotalTime>3</TotalTime>
  <ScaleCrop>false</ScaleCrop>
  <LinksUpToDate>false</LinksUpToDate>
  <CharactersWithSpaces>996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2019-07-29T08:45:00Z</dcterms:created>
  <dc:creator>Y</dc:creator>
  <cp:lastModifiedBy>晓军</cp:lastModifiedBy>
  <dcterms:modified xsi:type="dcterms:W3CDTF">2020-10-30T02:31:17Z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